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Chaitanya Ramineni, PhD — Analytic Bytes</w:t>
      </w:r>
    </w:p>
    <w:p>
      <w:pPr>
        <w:pStyle w:val="Date"/>
      </w:pPr>
      <w:r>
        <w:t xml:space="preserve">Q3 2026</w:t>
      </w:r>
    </w:p>
    <w:p>
      <w:pPr>
        <w:pStyle w:val="Heading1"/>
      </w:pPr>
      <w:bookmarkStart w:id="20" w:name="analytic-bytes-diagnostic"/>
      <w:r>
        <w:t xml:space="preserve">ANALYTIC BYTES DIAGNOSTIC</w:t>
      </w:r>
      <w:bookmarkEnd w:id="20"/>
    </w:p>
    <w:p>
      <w:pPr>
        <w:pStyle w:val="Heading2"/>
      </w:pPr>
      <w:bookmarkStart w:id="21" w:name="ai-evaluation-diagnostic"/>
      <w:r>
        <w:t xml:space="preserve">AI Evaluation Diagnostic</w:t>
      </w:r>
      <w:bookmarkEnd w:id="21"/>
    </w:p>
    <w:p>
      <w:pPr>
        <w:pStyle w:val="FirstParagraph"/>
      </w:pPr>
      <w:r>
        <w:t xml:space="preserve">Three pillars. Twelve questions. One leadership meeting. One 90-day operating move.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Pillar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Diagnostic 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Stage 0 — Vibes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Stage 1 — Eyeballed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Operating standard (Stage 2 / 3)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Behavior</w:t>
            </w:r>
          </w:p>
        </w:tc>
        <w:tc>
          <w:p>
            <w:pPr>
              <w:pStyle w:val="Compact"/>
              <w:jc w:val="left"/>
            </w:pPr>
            <w:r>
              <w:t xml:space="preserve">1. Agreement under repeated samples</w:t>
            </w:r>
          </w:p>
        </w:tc>
        <w:tc>
          <w:p>
            <w:pPr>
              <w:pStyle w:val="Compact"/>
              <w:jc w:val="left"/>
            </w:pPr>
            <w:r>
              <w:t xml:space="preserve">No reference set</w:t>
            </w:r>
          </w:p>
        </w:tc>
        <w:tc>
          <w:p>
            <w:pPr>
              <w:pStyle w:val="Compact"/>
              <w:jc w:val="left"/>
            </w:pPr>
            <w:r>
              <w:t xml:space="preserve">Spot checks</w:t>
            </w:r>
          </w:p>
        </w:tc>
        <w:tc>
          <w:p>
            <w:pPr>
              <w:pStyle w:val="Compact"/>
              <w:jc w:val="left"/>
            </w:pPr>
            <w:r>
              <w:t xml:space="preserve">Reference set + threshold + repeated samples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Behavior</w:t>
            </w:r>
          </w:p>
        </w:tc>
        <w:tc>
          <w:p>
            <w:pPr>
              <w:pStyle w:val="Compact"/>
              <w:jc w:val="left"/>
            </w:pPr>
            <w:r>
              <w:t xml:space="preserve">2. Release-tracked stability</w:t>
            </w:r>
          </w:p>
        </w:tc>
        <w:tc>
          <w:p>
            <w:pPr>
              <w:pStyle w:val="Compact"/>
              <w:jc w:val="left"/>
            </w:pPr>
            <w:r>
              <w:t xml:space="preserve">No drift check</w:t>
            </w:r>
          </w:p>
        </w:tc>
        <w:tc>
          <w:p>
            <w:pPr>
              <w:pStyle w:val="Compact"/>
              <w:jc w:val="left"/>
            </w:pPr>
            <w:r>
              <w:t xml:space="preserve">Upgrade checks only</w:t>
            </w:r>
          </w:p>
        </w:tc>
        <w:tc>
          <w:p>
            <w:pPr>
              <w:pStyle w:val="Compact"/>
              <w:jc w:val="left"/>
            </w:pPr>
            <w:r>
              <w:t xml:space="preserve">Release-gated: performance before/after last 3 updates documented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Behavior</w:t>
            </w:r>
          </w:p>
        </w:tc>
        <w:tc>
          <w:p>
            <w:pPr>
              <w:pStyle w:val="Compact"/>
              <w:jc w:val="left"/>
            </w:pPr>
            <w:r>
              <w:t xml:space="preserve">3. Workflow-specific gaming</w:t>
            </w:r>
          </w:p>
        </w:tc>
        <w:tc>
          <w:p>
            <w:pPr>
              <w:pStyle w:val="Compact"/>
              <w:jc w:val="left"/>
            </w:pPr>
            <w:r>
              <w:t xml:space="preserve">Nobody has tried to break it</w:t>
            </w:r>
          </w:p>
        </w:tc>
        <w:tc>
          <w:p>
            <w:pPr>
              <w:pStyle w:val="Compact"/>
              <w:jc w:val="left"/>
            </w:pPr>
            <w:r>
              <w:t xml:space="preserve">Anecdotal failures</w:t>
            </w:r>
          </w:p>
        </w:tc>
        <w:tc>
          <w:p>
            <w:pPr>
              <w:pStyle w:val="Compact"/>
              <w:jc w:val="left"/>
            </w:pPr>
            <w:r>
              <w:t xml:space="preserve">Workflow-specific misuse cases tested + documented failure modes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Behavior</w:t>
            </w:r>
          </w:p>
        </w:tc>
        <w:tc>
          <w:p>
            <w:pPr>
              <w:pStyle w:val="Compact"/>
              <w:jc w:val="left"/>
            </w:pPr>
            <w:r>
              <w:t xml:space="preserve">4. Judge-of-judge reliability</w:t>
            </w:r>
          </w:p>
        </w:tc>
        <w:tc>
          <w:p>
            <w:pPr>
              <w:pStyle w:val="Compact"/>
              <w:jc w:val="left"/>
            </w:pPr>
            <w:r>
              <w:t xml:space="preserve">LLM judge trusted by default</w:t>
            </w:r>
          </w:p>
        </w:tc>
        <w:tc>
          <w:p>
            <w:pPr>
              <w:pStyle w:val="Compact"/>
              <w:jc w:val="left"/>
            </w:pPr>
            <w:r>
              <w:t xml:space="preserve">Manual spot check</w:t>
            </w:r>
          </w:p>
        </w:tc>
        <w:tc>
          <w:p>
            <w:pPr>
              <w:pStyle w:val="Compact"/>
              <w:jc w:val="left"/>
            </w:pPr>
            <w:r>
              <w:t xml:space="preserve">Bias audit on this task + cross-validation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Signal</w:t>
            </w:r>
          </w:p>
        </w:tc>
        <w:tc>
          <w:p>
            <w:pPr>
              <w:pStyle w:val="Compact"/>
              <w:jc w:val="left"/>
            </w:pPr>
            <w:r>
              <w:t xml:space="preserve">5. Construct definition and drift</w:t>
            </w:r>
          </w:p>
        </w:tc>
        <w:tc>
          <w:p>
            <w:pPr>
              <w:pStyle w:val="Compact"/>
              <w:jc w:val="left"/>
            </w:pPr>
            <w:r>
              <w:t xml:space="preserve">No shared definition</w:t>
            </w:r>
          </w:p>
        </w:tc>
        <w:tc>
          <w:p>
            <w:pPr>
              <w:pStyle w:val="Compact"/>
              <w:jc w:val="left"/>
            </w:pPr>
            <w:r>
              <w:t xml:space="preserve">Written definition</w:t>
            </w:r>
          </w:p>
        </w:tc>
        <w:tc>
          <w:p>
            <w:pPr>
              <w:pStyle w:val="Compact"/>
              <w:jc w:val="left"/>
            </w:pPr>
            <w:r>
              <w:t xml:space="preserve">Metric-construct map defended + review triggered by changes in clinical guidance, state standards, policy, population, workflow, or fairness expectations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Signal</w:t>
            </w:r>
          </w:p>
        </w:tc>
        <w:tc>
          <w:p>
            <w:pPr>
              <w:pStyle w:val="Compact"/>
              <w:jc w:val="left"/>
            </w:pPr>
            <w:r>
              <w:t xml:space="preserve">6. Eval realism + contamination</w:t>
            </w:r>
          </w:p>
        </w:tc>
        <w:tc>
          <w:p>
            <w:pPr>
              <w:pStyle w:val="Compact"/>
              <w:jc w:val="left"/>
            </w:pPr>
            <w:r>
              <w:t xml:space="preserve">Eval set assumed valid</w:t>
            </w:r>
          </w:p>
        </w:tc>
        <w:tc>
          <w:p>
            <w:pPr>
              <w:pStyle w:val="Compact"/>
              <w:jc w:val="left"/>
            </w:pPr>
            <w:r>
              <w:t xml:space="preserve">Eval set documented</w:t>
            </w:r>
          </w:p>
        </w:tc>
        <w:tc>
          <w:p>
            <w:pPr>
              <w:pStyle w:val="Compact"/>
              <w:jc w:val="left"/>
            </w:pPr>
            <w:r>
              <w:t xml:space="preserve">Built from cases like yours, deduplicated, separated from training/fine-tuning/prompt-development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Signal</w:t>
            </w:r>
          </w:p>
        </w:tc>
        <w:tc>
          <w:p>
            <w:pPr>
              <w:pStyle w:val="Compact"/>
              <w:jc w:val="left"/>
            </w:pPr>
            <w:r>
              <w:t xml:space="preserve">7. External alignment</w:t>
            </w:r>
          </w:p>
        </w:tc>
        <w:tc>
          <w:p>
            <w:pPr>
              <w:pStyle w:val="Compact"/>
              <w:jc w:val="left"/>
            </w:pPr>
            <w:r>
              <w:t xml:space="preserve">Internal metric only</w:t>
            </w:r>
          </w:p>
        </w:tc>
        <w:tc>
          <w:p>
            <w:pPr>
              <w:pStyle w:val="Compact"/>
              <w:jc w:val="left"/>
            </w:pPr>
            <w:r>
              <w:t xml:space="preserve">Early correlation</w:t>
            </w:r>
          </w:p>
        </w:tc>
        <w:tc>
          <w:p>
            <w:pPr>
              <w:pStyle w:val="Compact"/>
              <w:jc w:val="left"/>
            </w:pPr>
            <w:r>
              <w:t xml:space="preserve">External criterion or outcome moves with the score; intervention-confounding addressed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Signal</w:t>
            </w:r>
          </w:p>
        </w:tc>
        <w:tc>
          <w:p>
            <w:pPr>
              <w:pStyle w:val="Compact"/>
              <w:jc w:val="left"/>
            </w:pPr>
            <w:r>
              <w:t xml:space="preserve">8. Construct undercoverage</w:t>
            </w:r>
          </w:p>
        </w:tc>
        <w:tc>
          <w:p>
            <w:pPr>
              <w:pStyle w:val="Compact"/>
              <w:jc w:val="left"/>
            </w:pPr>
            <w:r>
              <w:t xml:space="preserve">Limitations unstated</w:t>
            </w:r>
          </w:p>
        </w:tc>
        <w:tc>
          <w:p>
            <w:pPr>
              <w:pStyle w:val="Compact"/>
              <w:jc w:val="left"/>
            </w:pPr>
            <w:r>
              <w:t xml:space="preserve">Known internally</w:t>
            </w:r>
          </w:p>
        </w:tc>
        <w:tc>
          <w:p>
            <w:pPr>
              <w:pStyle w:val="Compact"/>
              <w:jc w:val="left"/>
            </w:pPr>
            <w:r>
              <w:t xml:space="preserve">Undercovered construct parts named + decision-risk mapped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Governance</w:t>
            </w:r>
          </w:p>
        </w:tc>
        <w:tc>
          <w:p>
            <w:pPr>
              <w:pStyle w:val="Compact"/>
              <w:jc w:val="left"/>
            </w:pPr>
            <w:r>
              <w:t xml:space="preserve">9. Subgroup-by-use-case performance</w:t>
            </w:r>
          </w:p>
        </w:tc>
        <w:tc>
          <w:p>
            <w:pPr>
              <w:pStyle w:val="Compact"/>
              <w:jc w:val="left"/>
            </w:pPr>
            <w:r>
              <w:t xml:space="preserve">Aggregate metrics only</w:t>
            </w:r>
          </w:p>
        </w:tc>
        <w:tc>
          <w:p>
            <w:pPr>
              <w:pStyle w:val="Compact"/>
              <w:jc w:val="left"/>
            </w:pPr>
            <w:r>
              <w:t xml:space="preserve">One-off subgroup analysis</w:t>
            </w:r>
          </w:p>
        </w:tc>
        <w:tc>
          <w:p>
            <w:pPr>
              <w:pStyle w:val="Compact"/>
              <w:jc w:val="left"/>
            </w:pPr>
            <w:r>
              <w:t xml:space="preserve">Subgroup-by-use-case cells with adequate n identified; decision rule named when evidence is thin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Governance</w:t>
            </w:r>
          </w:p>
        </w:tc>
        <w:tc>
          <w:p>
            <w:pPr>
              <w:pStyle w:val="Compact"/>
              <w:jc w:val="left"/>
            </w:pPr>
            <w:r>
              <w:t xml:space="preserve">10. Discrepancy policy</w:t>
            </w:r>
          </w:p>
        </w:tc>
        <w:tc>
          <w:p>
            <w:pPr>
              <w:pStyle w:val="Compact"/>
              <w:jc w:val="left"/>
            </w:pPr>
            <w:r>
              <w:t xml:space="preserve">Ad hoc overrides</w:t>
            </w:r>
          </w:p>
        </w:tc>
        <w:tc>
          <w:p>
            <w:pPr>
              <w:pStyle w:val="Compact"/>
              <w:jc w:val="left"/>
            </w:pPr>
            <w:r>
              <w:t xml:space="preserve">Informal rule</w:t>
            </w:r>
          </w:p>
        </w:tc>
        <w:tc>
          <w:p>
            <w:pPr>
              <w:pStyle w:val="Compact"/>
              <w:jc w:val="left"/>
            </w:pPr>
            <w:r>
              <w:t xml:space="preserve">Written escalation policy + audit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Governance</w:t>
            </w:r>
          </w:p>
        </w:tc>
        <w:tc>
          <w:p>
            <w:pPr>
              <w:pStyle w:val="Compact"/>
              <w:jc w:val="left"/>
            </w:pPr>
            <w:r>
              <w:t xml:space="preserve">11. Consequence audit</w:t>
            </w:r>
          </w:p>
        </w:tc>
        <w:tc>
          <w:p>
            <w:pPr>
              <w:pStyle w:val="Compact"/>
              <w:jc w:val="left"/>
            </w:pPr>
            <w:r>
              <w:t xml:space="preserve">No washback review</w:t>
            </w:r>
          </w:p>
        </w:tc>
        <w:tc>
          <w:p>
            <w:pPr>
              <w:pStyle w:val="Compact"/>
              <w:jc w:val="left"/>
            </w:pPr>
            <w:r>
              <w:t xml:space="preserve">Anecdotes only</w:t>
            </w:r>
          </w:p>
        </w:tc>
        <w:tc>
          <w:p>
            <w:pPr>
              <w:pStyle w:val="Compact"/>
              <w:jc w:val="left"/>
            </w:pPr>
            <w:r>
              <w:t xml:space="preserve">Quarterly review for over-monitoring, gaming, alert fatigue, deskilling, workflow distortion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Governance</w:t>
            </w:r>
          </w:p>
        </w:tc>
        <w:tc>
          <w:p>
            <w:pPr>
              <w:pStyle w:val="Compact"/>
              <w:jc w:val="left"/>
            </w:pPr>
            <w:r>
              <w:t xml:space="preserve">12. Sunset criteria</w:t>
            </w:r>
          </w:p>
        </w:tc>
        <w:tc>
          <w:p>
            <w:pPr>
              <w:pStyle w:val="Compact"/>
              <w:jc w:val="left"/>
            </w:pPr>
            <w:r>
              <w:t xml:space="preserve">No rollback conditions</w:t>
            </w:r>
          </w:p>
        </w:tc>
        <w:tc>
          <w:p>
            <w:pPr>
              <w:pStyle w:val="Compact"/>
              <w:jc w:val="left"/>
            </w:pPr>
            <w:r>
              <w:t xml:space="preserve">Theoretical answer</w:t>
            </w:r>
          </w:p>
        </w:tc>
        <w:tc>
          <w:p>
            <w:pPr>
              <w:pStyle w:val="Compact"/>
              <w:jc w:val="left"/>
            </w:pPr>
            <w:r>
              <w:t xml:space="preserve">Monitored criteria + named owner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3"/>
      </w:pPr>
      <w:bookmarkStart w:id="22" w:name="how-to-score-honestly"/>
      <w:r>
        <w:t xml:space="preserve">How to score honestly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Evidence, not intent: plans do not count.</w:t>
      </w:r>
    </w:p>
    <w:p>
      <w:pPr>
        <w:numPr>
          <w:ilvl w:val="0"/>
          <w:numId w:val="1001"/>
        </w:numPr>
        <w:pStyle w:val="Compact"/>
      </w:pPr>
      <w:r>
        <w:t xml:space="preserve">Use three scorers: product/program, data/engineering, research/evaluation/risk.</w:t>
      </w:r>
    </w:p>
    <w:p>
      <w:pPr>
        <w:numPr>
          <w:ilvl w:val="0"/>
          <w:numId w:val="1001"/>
        </w:numPr>
        <w:pStyle w:val="Compact"/>
      </w:pPr>
      <w:r>
        <w:t xml:space="preserve">Lowest credible cell in a pillar is the pillar score.</w:t>
      </w:r>
    </w:p>
    <w:p>
      <w:pPr>
        <w:numPr>
          <w:ilvl w:val="0"/>
          <w:numId w:val="1001"/>
        </w:numPr>
        <w:pStyle w:val="Compact"/>
      </w:pPr>
      <w:r>
        <w:t xml:space="preserve">Output: one score per pillar + one named pillar to advance in 90 days.</w:t>
      </w:r>
    </w:p>
    <w:p>
      <w:pPr>
        <w:pStyle w:val="Heading3"/>
      </w:pPr>
      <w:bookmarkStart w:id="23" w:name="when-a-vendor-pitches-you"/>
      <w:r>
        <w:t xml:space="preserve">When a vendor pitches you</w:t>
      </w:r>
      <w:bookmarkEnd w:id="23"/>
    </w:p>
    <w:p>
      <w:pPr>
        <w:pStyle w:val="FirstParagraph"/>
      </w:pPr>
      <w:r>
        <w:t xml:space="preserve">These twelve questions are also the validity questions to ask when a vendor claims responsible-AI-compliance. The vendor’s framework alignment (Polaris Principles, EdSafe AI Alliance, Common Sense Education AI ratings, ORCHA review, NAM / APA / WHO references) is the floor — what</w:t>
      </w:r>
      <w:r>
        <w:t xml:space="preserve"> </w:t>
      </w:r>
      <w:r>
        <w:rPr>
          <w:i/>
        </w:rPr>
        <w:t xml:space="preserve">responsible AI should include.</w:t>
      </w:r>
      <w:r>
        <w:t xml:space="preserve"> </w:t>
      </w:r>
      <w:r>
        <w:t xml:space="preserve">These twelve are what to ask</w:t>
      </w:r>
      <w:r>
        <w:t xml:space="preserve"> </w:t>
      </w:r>
      <w:r>
        <w:rPr>
          <w:i/>
        </w:rPr>
        <w:t xml:space="preserve">beneath</w:t>
      </w:r>
      <w:r>
        <w:t xml:space="preserve"> </w:t>
      </w:r>
      <w:r>
        <w:t xml:space="preserve">the floor — what evidence makes the claim valid for</w:t>
      </w:r>
      <w:r>
        <w:t xml:space="preserve"> </w:t>
      </w:r>
      <w:r>
        <w:rPr>
          <w:i/>
        </w:rPr>
        <w:t xml:space="preserve">your</w:t>
      </w:r>
      <w:r>
        <w:t xml:space="preserve"> </w:t>
      </w:r>
      <w:r>
        <w:t xml:space="preserve">decision,</w:t>
      </w:r>
      <w:r>
        <w:t xml:space="preserve"> </w:t>
      </w:r>
      <w:r>
        <w:rPr>
          <w:i/>
        </w:rPr>
        <w:t xml:space="preserve">your</w:t>
      </w:r>
      <w:r>
        <w:t xml:space="preserve"> </w:t>
      </w:r>
      <w:r>
        <w:t xml:space="preserve">population,</w:t>
      </w:r>
      <w:r>
        <w:t xml:space="preserve"> </w:t>
      </w:r>
      <w:r>
        <w:rPr>
          <w:i/>
        </w:rPr>
        <w:t xml:space="preserve">your</w:t>
      </w:r>
      <w:r>
        <w:t xml:space="preserve"> </w:t>
      </w:r>
      <w:r>
        <w:t xml:space="preserve">workflow.</w:t>
      </w:r>
    </w:p>
    <w:p>
      <w:pPr>
        <w:pStyle w:val="BodyText"/>
      </w:pPr>
      <w:r>
        <w:t xml:space="preserve">For the next layer — vendor evidence request sheets, red flags, contract language, incident response, local pilot validation plans — see the</w:t>
      </w:r>
      <w:r>
        <w:t xml:space="preserve"> </w:t>
      </w:r>
      <w:r>
        <w:rPr>
          <w:i/>
        </w:rPr>
        <w:t xml:space="preserve">AB Vendor Evidence Pack</w:t>
      </w:r>
      <w:r>
        <w:t xml:space="preserve"> </w:t>
      </w:r>
      <w:r>
        <w:t xml:space="preserve">(companion download, forthcoming).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leadership-meeting-output"/>
      <w:r>
        <w:t xml:space="preserve">Leadership meeting output</w:t>
      </w:r>
      <w:bookmarkEnd w:id="24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t xml:space="preserve">Behavior score</w:t>
            </w:r>
          </w:p>
        </w:tc>
        <w:tc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Signal score</w:t>
            </w:r>
          </w:p>
        </w:tc>
        <w:tc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Governance score</w:t>
            </w:r>
          </w:p>
        </w:tc>
        <w:tc>
          <w:p>
            <w:pPr>
              <w:pStyle w:val="Compact"/>
              <w:jc w:val="left"/>
            </w:pPr>
            <w:r>
              <w:t xml:space="preserve">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Named pillar to advance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First 90-day move</w:t>
            </w:r>
          </w:p>
        </w:tc>
        <w:tc>
          <w:p>
            <w:pPr>
              <w:pStyle w:val="Compact"/>
              <w:jc w:val="left"/>
            </w:pPr>
            <w:r>
              <w:t xml:space="preserve">Instrument → Observe → Define threshold → Operate → Audit → Handoff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Owner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Next review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_________________________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Companion: WITSAM, the Validity Ladder, and</w:t>
      </w:r>
      <w:r>
        <w:t xml:space="preserve"> </w:t>
      </w:r>
      <w:r>
        <w:t xml:space="preserve">“</w:t>
      </w:r>
      <w:r>
        <w:t xml:space="preserve">It’s not a communication issue. It’s a blown assignment.</w:t>
      </w:r>
      <w:r>
        <w:t xml:space="preserve">”</w:t>
      </w:r>
      <w:r>
        <w:t xml:space="preserve"> </w:t>
      </w:r>
      <w:r>
        <w:t xml:space="preserve">— at analyticbytes.systems/library.</w:t>
      </w:r>
    </w:p>
    <w:p>
      <w:pPr>
        <w:pStyle w:val="BodyText"/>
      </w:pPr>
      <w:r>
        <w:t xml:space="preserve">Analytic Bytes · From Fragmented to Decision-Ready · Q3 2026 v3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Chaitanya Ramineni, PhD — Analytic Bytes</dc:creator>
  <cp:keywords/>
  <dcterms:created xsi:type="dcterms:W3CDTF">2026-06-25T20:31:16Z</dcterms:created>
  <dcterms:modified xsi:type="dcterms:W3CDTF">2026-06-25T20:31:16Z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Q3 2026</vt:lpwstr>
  </property>
</Properties>
</file>